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A3" w:rsidRDefault="00257BA3" w:rsidP="005E778F">
      <w:pPr>
        <w:pStyle w:val="ListParagraph"/>
        <w:widowControl w:val="0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7BA3">
        <w:rPr>
          <w:rFonts w:ascii="Arial" w:hAnsi="Arial" w:cs="Arial"/>
          <w:i/>
          <w:sz w:val="22"/>
          <w:szCs w:val="22"/>
        </w:rPr>
        <w:t>Working Queensland</w:t>
      </w:r>
      <w:r w:rsidRPr="00257BA3">
        <w:rPr>
          <w:rFonts w:ascii="Arial" w:hAnsi="Arial" w:cs="Arial"/>
          <w:sz w:val="22"/>
          <w:szCs w:val="22"/>
        </w:rPr>
        <w:t xml:space="preserve"> sets out the Queensland Government’s plan for creating jobs and lowering unemployment in order to lead Queensland to future prosperity. It also includes the commitment to establish </w:t>
      </w:r>
      <w:r w:rsidR="000F0DA3">
        <w:rPr>
          <w:rFonts w:ascii="Arial" w:hAnsi="Arial" w:cs="Arial"/>
          <w:sz w:val="22"/>
          <w:szCs w:val="22"/>
        </w:rPr>
        <w:t>an independent Training Ombudsman with the power to investigate complaints made about vocational education and training (VET), including apprenticeships and traineeships, in Queensland.</w:t>
      </w:r>
      <w:r w:rsidRPr="00257BA3">
        <w:rPr>
          <w:rFonts w:ascii="Arial" w:hAnsi="Arial" w:cs="Arial"/>
          <w:sz w:val="22"/>
          <w:szCs w:val="22"/>
        </w:rPr>
        <w:t xml:space="preserve"> </w:t>
      </w:r>
    </w:p>
    <w:p w:rsidR="00257BA3" w:rsidRPr="00257BA3" w:rsidRDefault="00A91F4F" w:rsidP="005E778F">
      <w:pPr>
        <w:pStyle w:val="ListParagraph"/>
        <w:widowControl w:val="0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7BA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F0DA3">
        <w:rPr>
          <w:rFonts w:ascii="Arial" w:hAnsi="Arial" w:cs="Arial"/>
          <w:bCs/>
          <w:spacing w:val="-3"/>
          <w:sz w:val="22"/>
          <w:szCs w:val="22"/>
        </w:rPr>
        <w:t>Further Education and Training (Training Ombudsman)</w:t>
      </w:r>
      <w:r w:rsidR="00D05B3B">
        <w:rPr>
          <w:rFonts w:ascii="Arial" w:hAnsi="Arial" w:cs="Arial"/>
          <w:bCs/>
          <w:spacing w:val="-3"/>
          <w:sz w:val="22"/>
          <w:szCs w:val="22"/>
        </w:rPr>
        <w:t xml:space="preserve"> and Another Act</w:t>
      </w:r>
      <w:r w:rsidR="000F0DA3">
        <w:rPr>
          <w:rFonts w:ascii="Arial" w:hAnsi="Arial" w:cs="Arial"/>
          <w:bCs/>
          <w:spacing w:val="-3"/>
          <w:sz w:val="22"/>
          <w:szCs w:val="22"/>
        </w:rPr>
        <w:t xml:space="preserve"> Amendment Bill </w:t>
      </w:r>
      <w:r w:rsidRPr="00257BA3">
        <w:rPr>
          <w:rFonts w:ascii="Arial" w:hAnsi="Arial" w:cs="Arial"/>
          <w:bCs/>
          <w:spacing w:val="-3"/>
          <w:sz w:val="22"/>
          <w:szCs w:val="22"/>
        </w:rPr>
        <w:t xml:space="preserve">2015 establishes </w:t>
      </w:r>
      <w:r w:rsidR="000F0DA3">
        <w:rPr>
          <w:rFonts w:ascii="Arial" w:hAnsi="Arial" w:cs="Arial"/>
          <w:bCs/>
          <w:spacing w:val="-3"/>
          <w:sz w:val="22"/>
          <w:szCs w:val="22"/>
        </w:rPr>
        <w:t xml:space="preserve">the Training Ombudsman as </w:t>
      </w:r>
      <w:r w:rsidR="00905E3E">
        <w:rPr>
          <w:rFonts w:ascii="Arial" w:hAnsi="Arial" w:cs="Arial"/>
          <w:bCs/>
          <w:spacing w:val="-3"/>
          <w:sz w:val="22"/>
          <w:szCs w:val="22"/>
        </w:rPr>
        <w:t xml:space="preserve">an </w:t>
      </w:r>
      <w:r w:rsidRPr="00257BA3">
        <w:rPr>
          <w:rFonts w:ascii="Arial" w:hAnsi="Arial" w:cs="Arial"/>
          <w:bCs/>
          <w:spacing w:val="-3"/>
          <w:sz w:val="22"/>
          <w:szCs w:val="22"/>
        </w:rPr>
        <w:t xml:space="preserve">independent statutory </w:t>
      </w:r>
      <w:r w:rsidR="000F0DA3">
        <w:rPr>
          <w:rFonts w:ascii="Arial" w:hAnsi="Arial" w:cs="Arial"/>
          <w:bCs/>
          <w:spacing w:val="-3"/>
          <w:sz w:val="22"/>
          <w:szCs w:val="22"/>
        </w:rPr>
        <w:t>position to assist VET consumers such as students, apprentices, trainees and employers</w:t>
      </w:r>
      <w:r w:rsidR="006F4E64">
        <w:rPr>
          <w:rFonts w:ascii="Arial" w:hAnsi="Arial" w:cs="Arial"/>
          <w:bCs/>
          <w:spacing w:val="-3"/>
          <w:sz w:val="22"/>
          <w:szCs w:val="22"/>
        </w:rPr>
        <w:t xml:space="preserve">. The Training Ombudsman has the following </w:t>
      </w:r>
      <w:r w:rsidR="005A3925" w:rsidRPr="00257BA3">
        <w:rPr>
          <w:rFonts w:ascii="Arial" w:hAnsi="Arial" w:cs="Arial"/>
          <w:bCs/>
          <w:spacing w:val="-3"/>
          <w:sz w:val="22"/>
          <w:szCs w:val="22"/>
        </w:rPr>
        <w:t>key functions</w:t>
      </w:r>
      <w:r w:rsidR="00257BA3" w:rsidRPr="00257BA3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6F4E64" w:rsidRDefault="006F4E64" w:rsidP="005E77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7"/>
          <w:tab w:val="num" w:pos="184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F4E64">
        <w:rPr>
          <w:rFonts w:ascii="Arial" w:hAnsi="Arial" w:cs="Arial"/>
          <w:bCs/>
          <w:spacing w:val="-3"/>
          <w:sz w:val="22"/>
          <w:szCs w:val="22"/>
        </w:rPr>
        <w:t xml:space="preserve">receive </w:t>
      </w:r>
      <w:r w:rsidR="00D70734"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and deal with </w:t>
      </w:r>
      <w:r w:rsidRPr="006F4E64">
        <w:rPr>
          <w:rFonts w:ascii="Arial" w:hAnsi="Arial" w:cs="Arial"/>
          <w:bCs/>
          <w:spacing w:val="-3"/>
          <w:sz w:val="22"/>
          <w:szCs w:val="22"/>
        </w:rPr>
        <w:t xml:space="preserve">complaints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about </w:t>
      </w:r>
      <w:r w:rsidR="0017666F"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the provision of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quality of VET training, apprenticeships and traineeships, compliance with the </w:t>
      </w:r>
      <w:r w:rsidRPr="000B32DE">
        <w:rPr>
          <w:rFonts w:ascii="Arial" w:hAnsi="Arial" w:cs="Arial"/>
          <w:bCs/>
          <w:i/>
          <w:spacing w:val="-3"/>
          <w:sz w:val="22"/>
          <w:szCs w:val="22"/>
        </w:rPr>
        <w:t xml:space="preserve">Further Education and Training Act </w:t>
      </w:r>
      <w:r w:rsidR="000B32DE" w:rsidRPr="000B32DE">
        <w:rPr>
          <w:rFonts w:ascii="Arial" w:hAnsi="Arial" w:cs="Arial"/>
          <w:bCs/>
          <w:i/>
          <w:spacing w:val="-3"/>
          <w:sz w:val="22"/>
          <w:szCs w:val="22"/>
        </w:rPr>
        <w:t>2014</w:t>
      </w:r>
      <w:r w:rsidR="000B32D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70734"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>and</w:t>
      </w:r>
      <w:r w:rsidR="00D7073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Pre-Qualified Supplier Agreements;</w:t>
      </w:r>
    </w:p>
    <w:p w:rsidR="006F4E64" w:rsidRPr="00D70734" w:rsidRDefault="00D70734" w:rsidP="005E77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7"/>
          <w:tab w:val="num" w:pos="184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0734">
        <w:rPr>
          <w:rFonts w:ascii="Arial" w:hAnsi="Arial" w:cs="Arial"/>
          <w:bCs/>
          <w:spacing w:val="-3"/>
          <w:sz w:val="22"/>
          <w:szCs w:val="22"/>
        </w:rPr>
        <w:t>advise complainant</w:t>
      </w:r>
      <w:r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s and where appropriate </w:t>
      </w:r>
      <w:r w:rsidR="006F4E64" w:rsidRPr="00D70734">
        <w:rPr>
          <w:rFonts w:ascii="Arial" w:hAnsi="Arial" w:cs="Arial"/>
          <w:bCs/>
          <w:spacing w:val="-3"/>
          <w:sz w:val="22"/>
          <w:szCs w:val="22"/>
        </w:rPr>
        <w:t xml:space="preserve">refer complaints to </w:t>
      </w:r>
      <w:r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>another</w:t>
      </w:r>
      <w:r w:rsidRPr="00D7073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F4E64" w:rsidRPr="00D70734">
        <w:rPr>
          <w:rFonts w:ascii="Arial" w:hAnsi="Arial" w:cs="Arial"/>
          <w:bCs/>
          <w:spacing w:val="-3"/>
          <w:sz w:val="22"/>
          <w:szCs w:val="22"/>
        </w:rPr>
        <w:t>appropriate entity;</w:t>
      </w:r>
    </w:p>
    <w:p w:rsidR="0017666F" w:rsidRDefault="0017666F" w:rsidP="005E77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7"/>
          <w:tab w:val="num" w:pos="184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assess and make recommendations</w:t>
      </w:r>
      <w:r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to the chief executive of the Department of Education and Training about complaints</w:t>
      </w:r>
      <w:r w:rsidRPr="006F4E64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17666F" w:rsidRDefault="0017666F" w:rsidP="005E77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7"/>
          <w:tab w:val="num" w:pos="184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monitor complaints;</w:t>
      </w:r>
    </w:p>
    <w:p w:rsidR="006F4E64" w:rsidRDefault="006F4E64" w:rsidP="005E77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7"/>
          <w:tab w:val="num" w:pos="184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make recommendations and report on systemic issues</w:t>
      </w:r>
      <w:r w:rsidR="0017666F"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relating to the provision of quality VET in Queensland, pre-</w:t>
      </w:r>
      <w:r w:rsidR="0017666F" w:rsidRPr="00292502">
        <w:rPr>
          <w:rFonts w:ascii="Arial" w:eastAsia="SimSun" w:hAnsi="Arial" w:cs="Arial"/>
          <w:bCs/>
          <w:spacing w:val="-3"/>
          <w:sz w:val="22"/>
          <w:szCs w:val="22"/>
          <w:lang w:eastAsia="zh-CN"/>
        </w:rPr>
        <w:t>qualified</w:t>
      </w:r>
      <w:r w:rsidR="0017666F"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suppliers and apprenticeships and traineeships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="00D70734" w:rsidRPr="00D7073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70734">
        <w:rPr>
          <w:rFonts w:ascii="Arial" w:hAnsi="Arial" w:cs="Arial"/>
          <w:bCs/>
          <w:spacing w:val="-3"/>
          <w:sz w:val="22"/>
          <w:szCs w:val="22"/>
        </w:rPr>
        <w:t>and</w:t>
      </w:r>
    </w:p>
    <w:p w:rsidR="00EF54C9" w:rsidRPr="00292502" w:rsidRDefault="006F4E64" w:rsidP="005E77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7"/>
          <w:tab w:val="num" w:pos="184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promotional activities and reviews</w:t>
      </w:r>
      <w:r w:rsidR="00EF54C9" w:rsidRPr="00292502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>.</w:t>
      </w:r>
    </w:p>
    <w:p w:rsidR="00D6589B" w:rsidRPr="005A3925" w:rsidRDefault="00236519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392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A3925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6F4E64">
        <w:rPr>
          <w:rFonts w:ascii="Arial" w:hAnsi="Arial" w:cs="Arial"/>
          <w:bCs/>
          <w:spacing w:val="-3"/>
          <w:sz w:val="22"/>
          <w:szCs w:val="22"/>
        </w:rPr>
        <w:t xml:space="preserve">Further Education and Training (Training Ombudsman) </w:t>
      </w:r>
      <w:r w:rsidR="00D05B3B">
        <w:rPr>
          <w:rFonts w:ascii="Arial" w:hAnsi="Arial" w:cs="Arial"/>
          <w:bCs/>
          <w:spacing w:val="-3"/>
          <w:sz w:val="22"/>
          <w:szCs w:val="22"/>
        </w:rPr>
        <w:t xml:space="preserve">and Another Act </w:t>
      </w:r>
      <w:r w:rsidR="006F4E64">
        <w:rPr>
          <w:rFonts w:ascii="Arial" w:hAnsi="Arial" w:cs="Arial"/>
          <w:bCs/>
          <w:spacing w:val="-3"/>
          <w:sz w:val="22"/>
          <w:szCs w:val="22"/>
        </w:rPr>
        <w:t xml:space="preserve">Amendment Bill </w:t>
      </w:r>
      <w:r w:rsidR="006F4E64" w:rsidRPr="00257BA3">
        <w:rPr>
          <w:rFonts w:ascii="Arial" w:hAnsi="Arial" w:cs="Arial"/>
          <w:bCs/>
          <w:spacing w:val="-3"/>
          <w:sz w:val="22"/>
          <w:szCs w:val="22"/>
        </w:rPr>
        <w:t xml:space="preserve">2015 </w:t>
      </w:r>
      <w:r w:rsidRPr="005A3925">
        <w:rPr>
          <w:rFonts w:ascii="Arial" w:hAnsi="Arial" w:cs="Arial"/>
          <w:bCs/>
          <w:spacing w:val="-3"/>
          <w:sz w:val="22"/>
          <w:szCs w:val="22"/>
        </w:rPr>
        <w:t xml:space="preserve">be introduced into the Legislative Assembly. </w:t>
      </w:r>
    </w:p>
    <w:p w:rsidR="00D6589B" w:rsidRPr="00C07656" w:rsidRDefault="00D6589B" w:rsidP="005E778F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FC718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F4E64" w:rsidRPr="00A6242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Further Education and Training (Training Ombudsman) </w:t>
        </w:r>
        <w:r w:rsidR="00D05B3B" w:rsidRPr="00A6242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and Another Act </w:t>
        </w:r>
        <w:r w:rsidR="006F4E64" w:rsidRPr="00A6242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Amendment Bill 2015</w:t>
        </w:r>
      </w:hyperlink>
    </w:p>
    <w:p w:rsidR="00732E22" w:rsidRPr="005E778F" w:rsidRDefault="00FC718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91F4F" w:rsidRPr="00A6242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5E778F" w:rsidSect="00292502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8B" w:rsidRDefault="00730A8B" w:rsidP="00D6589B">
      <w:r>
        <w:separator/>
      </w:r>
    </w:p>
  </w:endnote>
  <w:endnote w:type="continuationSeparator" w:id="0">
    <w:p w:rsidR="00730A8B" w:rsidRDefault="00730A8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8B" w:rsidRDefault="00730A8B" w:rsidP="00D6589B">
      <w:r>
        <w:separator/>
      </w:r>
    </w:p>
  </w:footnote>
  <w:footnote w:type="continuationSeparator" w:id="0">
    <w:p w:rsidR="00730A8B" w:rsidRDefault="00730A8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E315F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0F0DA3">
      <w:rPr>
        <w:rFonts w:ascii="Arial" w:hAnsi="Arial" w:cs="Arial"/>
        <w:b/>
        <w:sz w:val="22"/>
        <w:szCs w:val="22"/>
      </w:rPr>
      <w:t>November</w:t>
    </w:r>
    <w:r w:rsidR="00A91F4F">
      <w:rPr>
        <w:rFonts w:ascii="Arial" w:hAnsi="Arial" w:cs="Arial"/>
        <w:b/>
        <w:sz w:val="22"/>
        <w:szCs w:val="22"/>
      </w:rPr>
      <w:t xml:space="preserve"> 2015</w:t>
    </w:r>
  </w:p>
  <w:p w:rsidR="00CB1501" w:rsidRDefault="000F0DA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Further Education and Training (Training Ombudsman) </w:t>
    </w:r>
    <w:r w:rsidR="00345689">
      <w:rPr>
        <w:rFonts w:ascii="Arial" w:hAnsi="Arial" w:cs="Arial"/>
        <w:b/>
        <w:sz w:val="22"/>
        <w:szCs w:val="22"/>
        <w:u w:val="single"/>
      </w:rPr>
      <w:t xml:space="preserve">and Another Act </w:t>
    </w:r>
    <w:r>
      <w:rPr>
        <w:rFonts w:ascii="Arial" w:hAnsi="Arial" w:cs="Arial"/>
        <w:b/>
        <w:sz w:val="22"/>
        <w:szCs w:val="22"/>
        <w:u w:val="single"/>
      </w:rPr>
      <w:t>Amendment Bill 2015</w:t>
    </w:r>
  </w:p>
  <w:p w:rsidR="00CB1501" w:rsidRDefault="00A91F4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</w:t>
    </w:r>
    <w:r w:rsidR="00700178">
      <w:rPr>
        <w:rFonts w:ascii="Arial" w:hAnsi="Arial" w:cs="Arial"/>
        <w:b/>
        <w:sz w:val="22"/>
        <w:szCs w:val="22"/>
        <w:u w:val="single"/>
      </w:rPr>
      <w:t xml:space="preserve"> and</w:t>
    </w:r>
    <w:r>
      <w:rPr>
        <w:rFonts w:ascii="Arial" w:hAnsi="Arial" w:cs="Arial"/>
        <w:b/>
        <w:sz w:val="22"/>
        <w:szCs w:val="22"/>
        <w:u w:val="single"/>
      </w:rPr>
      <w:t xml:space="preserve"> Minister for Justice and Minister for Training and Skills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CD1"/>
    <w:multiLevelType w:val="hybridMultilevel"/>
    <w:tmpl w:val="8C52A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2C38B372"/>
    <w:lvl w:ilvl="0" w:tplc="4DA2C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016A857C"/>
    <w:lvl w:ilvl="0" w:tplc="7A744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6A58"/>
    <w:rsid w:val="00080F8F"/>
    <w:rsid w:val="000A2D79"/>
    <w:rsid w:val="000B32DE"/>
    <w:rsid w:val="000F0DA3"/>
    <w:rsid w:val="00174117"/>
    <w:rsid w:val="0017666F"/>
    <w:rsid w:val="00236519"/>
    <w:rsid w:val="00253EC2"/>
    <w:rsid w:val="00257BA3"/>
    <w:rsid w:val="002870B3"/>
    <w:rsid w:val="00292502"/>
    <w:rsid w:val="002B6741"/>
    <w:rsid w:val="003442E8"/>
    <w:rsid w:val="00345689"/>
    <w:rsid w:val="003B6021"/>
    <w:rsid w:val="004D7831"/>
    <w:rsid w:val="00501C66"/>
    <w:rsid w:val="00531B69"/>
    <w:rsid w:val="00550873"/>
    <w:rsid w:val="005A3925"/>
    <w:rsid w:val="005E778F"/>
    <w:rsid w:val="005F7A7C"/>
    <w:rsid w:val="00607720"/>
    <w:rsid w:val="006967F7"/>
    <w:rsid w:val="006F4E64"/>
    <w:rsid w:val="00700178"/>
    <w:rsid w:val="007065F1"/>
    <w:rsid w:val="00730A8B"/>
    <w:rsid w:val="00732E22"/>
    <w:rsid w:val="00795F3F"/>
    <w:rsid w:val="0083688D"/>
    <w:rsid w:val="008A58BB"/>
    <w:rsid w:val="00905E3E"/>
    <w:rsid w:val="00906C18"/>
    <w:rsid w:val="009E315F"/>
    <w:rsid w:val="00A152A0"/>
    <w:rsid w:val="00A538CC"/>
    <w:rsid w:val="00A62422"/>
    <w:rsid w:val="00A91F4F"/>
    <w:rsid w:val="00A93C76"/>
    <w:rsid w:val="00C75E67"/>
    <w:rsid w:val="00CB1501"/>
    <w:rsid w:val="00CD13D6"/>
    <w:rsid w:val="00CF0D8A"/>
    <w:rsid w:val="00D05B3B"/>
    <w:rsid w:val="00D414DB"/>
    <w:rsid w:val="00D6589B"/>
    <w:rsid w:val="00D70734"/>
    <w:rsid w:val="00EA308A"/>
    <w:rsid w:val="00EF3C75"/>
    <w:rsid w:val="00EF54C9"/>
    <w:rsid w:val="00F179C3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BA3"/>
    <w:pPr>
      <w:ind w:left="720"/>
      <w:contextualSpacing/>
    </w:pPr>
  </w:style>
  <w:style w:type="paragraph" w:customStyle="1" w:styleId="Body">
    <w:name w:val="Body"/>
    <w:rsid w:val="00257B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eastAsia="zh-CN"/>
    </w:rPr>
  </w:style>
  <w:style w:type="character" w:styleId="CommentReference">
    <w:name w:val="annotation reference"/>
    <w:semiHidden/>
    <w:unhideWhenUsed/>
    <w:rsid w:val="00257B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7BA3"/>
    <w:rPr>
      <w:sz w:val="20"/>
    </w:rPr>
  </w:style>
  <w:style w:type="character" w:customStyle="1" w:styleId="CommentTextChar">
    <w:name w:val="Comment Text Char"/>
    <w:link w:val="CommentText"/>
    <w:semiHidden/>
    <w:rsid w:val="00257BA3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character" w:styleId="Hyperlink">
    <w:name w:val="Hyperlink"/>
    <w:uiPriority w:val="99"/>
    <w:unhideWhenUsed/>
    <w:rsid w:val="00A624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4DEF0-7851-45DC-861F-3D6997C2CF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customXml/itemProps3.xml><?xml version="1.0" encoding="utf-8"?>
<ds:datastoreItem xmlns:ds="http://schemas.openxmlformats.org/officeDocument/2006/customXml" ds:itemID="{54EB6145-49C6-4F36-B067-D6FD4C6A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1415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Base>https://www.cabinet.qld.gov.au/documents/2015/Nov/TrgOmbBill/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2015-11-02T04:42:00Z</cp:lastPrinted>
  <dcterms:created xsi:type="dcterms:W3CDTF">2017-10-25T01:34:00Z</dcterms:created>
  <dcterms:modified xsi:type="dcterms:W3CDTF">2018-03-06T01:31:00Z</dcterms:modified>
  <cp:category>Training,Justice,Legislation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